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Учётной политикой, утверждённой Приказом Учреждения от 16.07.2018 г. №105 (в редакции приказа от 06.05.2019</w:t>
      </w:r>
      <w:r>
        <w:rPr>
          <w:rFonts w:ascii="Times New Roman" w:eastAsia="Times New Roman" w:hAnsi="Times New Roman" w:cs="Times New Roman"/>
          <w:color w:val="000000"/>
          <w:sz w:val="28"/>
          <w:szCs w:val="28"/>
        </w:rPr>
        <w:t xml:space="preserve"> г.</w:t>
      </w:r>
      <w:r w:rsidRPr="001151F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151FD">
        <w:rPr>
          <w:rFonts w:ascii="Times New Roman" w:eastAsia="Times New Roman" w:hAnsi="Times New Roman" w:cs="Times New Roman"/>
          <w:color w:val="000000"/>
          <w:sz w:val="28"/>
          <w:szCs w:val="28"/>
        </w:rPr>
        <w:t>54/П), установлены существенные способы ведения бухгалтерского учёта:</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определение первоначальной стоимости объектов основных средств осуществляется по сумме фактически произведенных капитальных вложений, формиру</w:t>
      </w:r>
      <w:r>
        <w:rPr>
          <w:rFonts w:ascii="Times New Roman" w:eastAsia="Times New Roman" w:hAnsi="Times New Roman" w:cs="Times New Roman"/>
          <w:color w:val="000000"/>
          <w:sz w:val="28"/>
          <w:szCs w:val="28"/>
        </w:rPr>
        <w:t>емых с учё</w:t>
      </w:r>
      <w:r w:rsidRPr="001151FD">
        <w:rPr>
          <w:rFonts w:ascii="Times New Roman" w:eastAsia="Times New Roman" w:hAnsi="Times New Roman" w:cs="Times New Roman"/>
          <w:color w:val="000000"/>
          <w:sz w:val="28"/>
          <w:szCs w:val="28"/>
        </w:rPr>
        <w:t>том сумм налога на добавленную стоимость (далее - НДС), предъявленных субъекту учета поставщиками (подрядчиками, исполнителями);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определение справедливой стоимости для различных видов активов и обязательств производится методом рыночных цен;</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срок полезного использования определяется на основании решения комиссии по поступлению и выбытию активов;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t>- при первом применении СГС «Основные средства»</w:t>
      </w:r>
      <w:r w:rsidRPr="001151FD">
        <w:rPr>
          <w:rFonts w:ascii="Times New Roman" w:eastAsia="Times New Roman" w:hAnsi="Times New Roman" w:cs="Times New Roman"/>
          <w:color w:val="000000"/>
          <w:sz w:val="28"/>
          <w:szCs w:val="28"/>
        </w:rPr>
        <w:t xml:space="preserve"> объекты отражаются по ранее сформированным оценкам: по балансовой стоимости, в случае если балансовая стоимость объекта до первого применения не была сформирована, в условной оценке - 1 объект, 1 рубль;</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основные ср</w:t>
      </w:r>
      <w:r>
        <w:rPr>
          <w:rFonts w:ascii="Times New Roman" w:eastAsia="Times New Roman" w:hAnsi="Times New Roman" w:cs="Times New Roman"/>
          <w:color w:val="000000"/>
          <w:sz w:val="28"/>
          <w:szCs w:val="28"/>
        </w:rPr>
        <w:t>едства стоимостью до 10 000 рублей</w:t>
      </w:r>
      <w:r w:rsidRPr="001151FD">
        <w:rPr>
          <w:rFonts w:ascii="Times New Roman" w:eastAsia="Times New Roman" w:hAnsi="Times New Roman" w:cs="Times New Roman"/>
          <w:color w:val="000000"/>
          <w:sz w:val="28"/>
          <w:szCs w:val="28"/>
        </w:rPr>
        <w:t xml:space="preserve"> включительно, находящиеся в эксплуатации,</w:t>
      </w:r>
      <w:r>
        <w:rPr>
          <w:rFonts w:ascii="Times New Roman" w:eastAsia="Times New Roman" w:hAnsi="Times New Roman" w:cs="Times New Roman"/>
          <w:color w:val="000000"/>
          <w:sz w:val="28"/>
          <w:szCs w:val="28"/>
        </w:rPr>
        <w:t xml:space="preserve"> учитываются 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счё</w:t>
      </w:r>
      <w:r w:rsidRPr="001151FD">
        <w:rPr>
          <w:rFonts w:ascii="Times New Roman" w:eastAsia="Times New Roman" w:hAnsi="Times New Roman" w:cs="Times New Roman"/>
          <w:color w:val="000000"/>
          <w:sz w:val="28"/>
          <w:szCs w:val="28"/>
        </w:rPr>
        <w:t>те 21 по балансовой стоимости;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срок полезного использования нематериальных активов определяется на основании решения комиссии по поступлению и выбытию активов;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начисление амортизации на объекты основных средств осуществляется линейным методом;</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w:t>
      </w:r>
      <w:r w:rsidRPr="001151FD">
        <w:rPr>
          <w:rFonts w:ascii="Times New Roman" w:eastAsia="Times New Roman" w:hAnsi="Times New Roman" w:cs="Times New Roman"/>
          <w:color w:val="000000"/>
          <w:sz w:val="28"/>
          <w:szCs w:val="28"/>
        </w:rPr>
        <w:lastRenderedPageBreak/>
        <w:t>суммировании получить переоцененную стоимость на дату проведения переоценки;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выбытие материальных запасов производится по средней фактической стоимости;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hAnsi="Times New Roman" w:cs="Times New Roman"/>
          <w:color w:val="000000"/>
          <w:sz w:val="28"/>
          <w:szCs w:val="28"/>
        </w:rPr>
        <w:t xml:space="preserve">- </w:t>
      </w:r>
      <w:r w:rsidRPr="001151FD">
        <w:rPr>
          <w:rFonts w:ascii="Times New Roman" w:eastAsia="Times New Roman" w:hAnsi="Times New Roman" w:cs="Times New Roman"/>
          <w:color w:val="000000"/>
          <w:sz w:val="28"/>
          <w:szCs w:val="28"/>
        </w:rPr>
        <w:t>распределение накладных затрат осуществляется пропорционально прямым затратам по оплате труда, материальным затратам, иным прямым затратам;</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к прямым затратам на выполнение услуг по размещению торговых терминалов относятся затраты на содержание помещений;</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t>- объекты учё</w:t>
      </w:r>
      <w:r w:rsidRPr="001151FD">
        <w:rPr>
          <w:rFonts w:ascii="Times New Roman" w:eastAsia="Times New Roman" w:hAnsi="Times New Roman" w:cs="Times New Roman"/>
          <w:color w:val="000000"/>
          <w:sz w:val="28"/>
          <w:szCs w:val="28"/>
        </w:rPr>
        <w:t>та аренды, признаваемые в составе нефинансовых активов и возникающие в рамках договоров безвозмездного пользования</w:t>
      </w:r>
      <w:r>
        <w:rPr>
          <w:rFonts w:ascii="Times New Roman" w:eastAsia="Times New Roman" w:hAnsi="Times New Roman" w:cs="Times New Roman"/>
          <w:color w:val="000000"/>
          <w:sz w:val="28"/>
          <w:szCs w:val="28"/>
        </w:rPr>
        <w:t>, отражаются в бухгалтерском учё</w:t>
      </w:r>
      <w:r w:rsidRPr="001151FD">
        <w:rPr>
          <w:rFonts w:ascii="Times New Roman" w:eastAsia="Times New Roman" w:hAnsi="Times New Roman" w:cs="Times New Roman"/>
          <w:color w:val="000000"/>
          <w:sz w:val="28"/>
          <w:szCs w:val="28"/>
        </w:rPr>
        <w:t>те по их справедливой стоимости, определяемой на</w:t>
      </w:r>
      <w:r>
        <w:rPr>
          <w:rFonts w:ascii="Times New Roman" w:eastAsia="Times New Roman" w:hAnsi="Times New Roman" w:cs="Times New Roman"/>
          <w:color w:val="000000"/>
          <w:sz w:val="28"/>
          <w:szCs w:val="28"/>
        </w:rPr>
        <w:t xml:space="preserve"> дату классификации объектов учё</w:t>
      </w:r>
      <w:r w:rsidRPr="001151FD">
        <w:rPr>
          <w:rFonts w:ascii="Times New Roman" w:eastAsia="Times New Roman" w:hAnsi="Times New Roman" w:cs="Times New Roman"/>
          <w:color w:val="000000"/>
          <w:sz w:val="28"/>
          <w:szCs w:val="28"/>
        </w:rPr>
        <w:t>та.  По договорам с бессрочным сроком, стоимость определяется исходя из временного промежутка времени, на который учреждению доведены лимиты бюджетных обязательств;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если данные о справедливой стоимости по каким-либо причинам недоступны, в целях обеспечения непрерывно</w:t>
      </w:r>
      <w:r>
        <w:rPr>
          <w:rFonts w:ascii="Times New Roman" w:eastAsia="Times New Roman" w:hAnsi="Times New Roman" w:cs="Times New Roman"/>
          <w:color w:val="000000"/>
          <w:sz w:val="28"/>
          <w:szCs w:val="28"/>
        </w:rPr>
        <w:t>го ведения бухгалтерского учё</w:t>
      </w:r>
      <w:r w:rsidRPr="001151FD">
        <w:rPr>
          <w:rFonts w:ascii="Times New Roman" w:eastAsia="Times New Roman" w:hAnsi="Times New Roman" w:cs="Times New Roman"/>
          <w:color w:val="000000"/>
          <w:sz w:val="28"/>
          <w:szCs w:val="28"/>
        </w:rPr>
        <w:t>та и полно</w:t>
      </w:r>
      <w:r>
        <w:rPr>
          <w:rFonts w:ascii="Times New Roman" w:eastAsia="Times New Roman" w:hAnsi="Times New Roman" w:cs="Times New Roman"/>
          <w:color w:val="000000"/>
          <w:sz w:val="28"/>
          <w:szCs w:val="28"/>
        </w:rPr>
        <w:t>ты отражения в бухгалтерском учё</w:t>
      </w:r>
      <w:r w:rsidRPr="001151FD">
        <w:rPr>
          <w:rFonts w:ascii="Times New Roman" w:eastAsia="Times New Roman" w:hAnsi="Times New Roman" w:cs="Times New Roman"/>
          <w:color w:val="000000"/>
          <w:sz w:val="28"/>
          <w:szCs w:val="28"/>
        </w:rPr>
        <w:t>те свершившихся фактов хозяйственной деятель</w:t>
      </w:r>
      <w:r>
        <w:rPr>
          <w:rFonts w:ascii="Times New Roman" w:eastAsia="Times New Roman" w:hAnsi="Times New Roman" w:cs="Times New Roman"/>
          <w:color w:val="000000"/>
          <w:sz w:val="28"/>
          <w:szCs w:val="28"/>
        </w:rPr>
        <w:t>ности допускается принятие к учё</w:t>
      </w:r>
      <w:r w:rsidRPr="001151FD">
        <w:rPr>
          <w:rFonts w:ascii="Times New Roman" w:eastAsia="Times New Roman" w:hAnsi="Times New Roman" w:cs="Times New Roman"/>
          <w:color w:val="000000"/>
          <w:sz w:val="28"/>
          <w:szCs w:val="28"/>
        </w:rPr>
        <w:t>ту объектов нефинансовых активов в условной оценке, равной одному рублю;</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резерв на предстоящую оплату отпусков формируется ежегодно (31 декабря) как сумма оплаты отпусков работникам за фактически о</w:t>
      </w:r>
      <w:r>
        <w:rPr>
          <w:rFonts w:ascii="Times New Roman" w:eastAsia="Times New Roman" w:hAnsi="Times New Roman" w:cs="Times New Roman"/>
          <w:color w:val="000000"/>
          <w:sz w:val="28"/>
          <w:szCs w:val="28"/>
        </w:rPr>
        <w:t>тработанное время, на дату расчё</w:t>
      </w:r>
      <w:r w:rsidRPr="001151FD">
        <w:rPr>
          <w:rFonts w:ascii="Times New Roman" w:eastAsia="Times New Roman" w:hAnsi="Times New Roman" w:cs="Times New Roman"/>
          <w:color w:val="000000"/>
          <w:sz w:val="28"/>
          <w:szCs w:val="28"/>
        </w:rPr>
        <w:t>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учёт бланков строгой отчётности осуществляется по стоимости их приобретения.</w:t>
      </w:r>
      <w:bookmarkStart w:id="0" w:name="_GoBack"/>
      <w:bookmarkEnd w:id="0"/>
    </w:p>
    <w:p w:rsidR="00F95994" w:rsidRDefault="00F95994"/>
    <w:sectPr w:rsidR="00F95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3C"/>
    <w:rsid w:val="0038393C"/>
    <w:rsid w:val="00521714"/>
    <w:rsid w:val="00F9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B86E3-6635-45CB-94D2-5CD265B0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14"/>
    <w:pPr>
      <w:pBdr>
        <w:top w:val="nil"/>
        <w:left w:val="nil"/>
        <w:bottom w:val="nil"/>
        <w:right w:val="nil"/>
      </w:pBdr>
      <w:spacing w:after="0" w:line="240" w:lineRule="auto"/>
    </w:pPr>
    <w:rPr>
      <w:rFonts w:ascii="Calibri" w:eastAsia="Calibri" w:hAnsi="Calibri" w:cs="Calibr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Company>SPecialiST RePack</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Trade1</dc:creator>
  <cp:keywords/>
  <dc:description/>
  <cp:lastModifiedBy>Trade1</cp:lastModifiedBy>
  <cp:revision>2</cp:revision>
  <dcterms:created xsi:type="dcterms:W3CDTF">2020-01-28T08:37:00Z</dcterms:created>
  <dcterms:modified xsi:type="dcterms:W3CDTF">2020-01-28T08:38:00Z</dcterms:modified>
</cp:coreProperties>
</file>